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color w:val="auto"/>
          <w:sz w:val="2"/>
          <w:szCs w:val="2"/>
        </w:rPr>
      </w:pPr>
    </w:p>
    <w:tbl>
      <w:tblPr>
        <w:tblStyle w:val="7"/>
        <w:tblW w:w="15306" w:type="dxa"/>
        <w:tblInd w:w="5" w:type="dxa"/>
        <w:tblLayout w:type="fixed"/>
        <w:tblCellMar>
          <w:top w:w="0" w:type="dxa"/>
          <w:left w:w="0" w:type="dxa"/>
          <w:bottom w:w="0" w:type="dxa"/>
          <w:right w:w="0" w:type="dxa"/>
        </w:tblCellMar>
      </w:tblPr>
      <w:tblGrid>
        <w:gridCol w:w="15306"/>
      </w:tblGrid>
      <w:tr>
        <w:tblPrEx>
          <w:tblCellMar>
            <w:top w:w="0" w:type="dxa"/>
            <w:left w:w="0" w:type="dxa"/>
            <w:bottom w:w="0" w:type="dxa"/>
            <w:right w:w="0" w:type="dxa"/>
          </w:tblCellMar>
        </w:tblPrEx>
        <w:trPr>
          <w:trHeight w:val="14740"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1110" w:lineRule="exact"/>
              <w:ind w:left="20"/>
              <w:jc w:val="center"/>
              <w:rPr>
                <w:rFonts w:ascii="微软雅黑" w:hAnsi="Times New Roman" w:eastAsia="微软雅黑" w:cs="微软雅黑"/>
                <w:b/>
                <w:bCs/>
                <w:sz w:val="84"/>
                <w:szCs w:val="84"/>
              </w:rPr>
            </w:pPr>
            <w:r>
              <w:rPr>
                <w:rFonts w:hint="eastAsia" w:ascii="微软雅黑" w:hAnsi="Times New Roman" w:eastAsia="微软雅黑" w:cs="微软雅黑"/>
                <w:b/>
                <w:bCs/>
                <w:sz w:val="84"/>
                <w:szCs w:val="84"/>
              </w:rPr>
              <w:t>湖南东洞庭湖国家级自然保护区管理局</w:t>
            </w:r>
            <w:r>
              <w:rPr>
                <w:rFonts w:ascii="微软雅黑" w:hAnsi="Times New Roman" w:eastAsia="微软雅黑" w:cs="微软雅黑"/>
                <w:b/>
                <w:bCs/>
                <w:sz w:val="84"/>
                <w:szCs w:val="84"/>
              </w:rPr>
              <w:t>2024</w:t>
            </w:r>
            <w:r>
              <w:rPr>
                <w:rFonts w:hint="eastAsia" w:ascii="微软雅黑" w:hAnsi="Times New Roman" w:eastAsia="微软雅黑" w:cs="微软雅黑"/>
                <w:b/>
                <w:bCs/>
                <w:sz w:val="84"/>
                <w:szCs w:val="84"/>
              </w:rPr>
              <w:t>年度</w:t>
            </w:r>
          </w:p>
          <w:p>
            <w:pPr>
              <w:spacing w:line="1110" w:lineRule="exact"/>
              <w:ind w:left="20"/>
              <w:jc w:val="center"/>
              <w:rPr>
                <w:rFonts w:ascii="微软雅黑" w:hAnsi="Times New Roman" w:eastAsia="微软雅黑" w:cs="微软雅黑"/>
                <w:sz w:val="84"/>
                <w:szCs w:val="84"/>
              </w:rPr>
            </w:pPr>
            <w:r>
              <w:rPr>
                <w:rFonts w:hint="eastAsia" w:ascii="微软雅黑" w:hAnsi="Times New Roman" w:eastAsia="微软雅黑" w:cs="微软雅黑"/>
                <w:b/>
                <w:bCs/>
                <w:sz w:val="84"/>
                <w:szCs w:val="84"/>
              </w:rPr>
              <w:t>单位预算</w:t>
            </w:r>
          </w:p>
        </w:tc>
      </w:tr>
      <w:tr>
        <w:tblPrEx>
          <w:tblCellMar>
            <w:top w:w="0" w:type="dxa"/>
            <w:left w:w="0" w:type="dxa"/>
            <w:bottom w:w="0" w:type="dxa"/>
            <w:right w:w="0" w:type="dxa"/>
          </w:tblCellMar>
        </w:tblPrEx>
        <w:trPr>
          <w:trHeight w:val="680"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525" w:lineRule="exact"/>
              <w:ind w:left="20"/>
              <w:jc w:val="center"/>
              <w:rPr>
                <w:rFonts w:ascii="Dialog" w:hAnsi="Times New Roman" w:eastAsia="Dialog" w:cs="Dialog"/>
                <w:sz w:val="44"/>
                <w:szCs w:val="44"/>
              </w:rPr>
            </w:pPr>
            <w:r>
              <w:rPr>
                <w:rFonts w:hint="eastAsia" w:ascii="Dialog" w:hAnsi="Times New Roman" w:eastAsia="Dialog" w:cs="Dialog"/>
                <w:sz w:val="44"/>
                <w:szCs w:val="44"/>
              </w:rPr>
              <w:t>目录</w:t>
            </w:r>
          </w:p>
        </w:tc>
      </w:tr>
      <w:tr>
        <w:tblPrEx>
          <w:tblCellMar>
            <w:top w:w="0" w:type="dxa"/>
            <w:left w:w="0" w:type="dxa"/>
            <w:bottom w:w="0" w:type="dxa"/>
            <w:right w:w="0" w:type="dxa"/>
          </w:tblCellMar>
        </w:tblPrEx>
        <w:trPr>
          <w:trHeight w:val="28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2024</w:t>
            </w:r>
            <w:r>
              <w:rPr>
                <w:rFonts w:hint="eastAsia" w:ascii="Dialog" w:hAnsi="Times New Roman" w:eastAsia="Dialog" w:cs="Dialog"/>
                <w:sz w:val="32"/>
                <w:szCs w:val="32"/>
              </w:rPr>
              <w:t>年单位预算说明</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2024</w:t>
            </w:r>
            <w:r>
              <w:rPr>
                <w:rFonts w:hint="eastAsia" w:ascii="Dialog" w:hAnsi="Times New Roman" w:eastAsia="Dialog" w:cs="Dialog"/>
                <w:sz w:val="32"/>
                <w:szCs w:val="32"/>
              </w:rPr>
              <w:t>年单位预算公开表格</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w:t>
            </w:r>
            <w:r>
              <w:rPr>
                <w:rFonts w:hint="eastAsia" w:ascii="Dialog" w:hAnsi="Times New Roman" w:eastAsia="Dialog" w:cs="Dialog"/>
                <w:sz w:val="32"/>
                <w:szCs w:val="32"/>
              </w:rPr>
              <w:t>、收支总表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w:t>
            </w:r>
            <w:r>
              <w:rPr>
                <w:rFonts w:hint="eastAsia" w:ascii="Dialog" w:hAnsi="Times New Roman" w:eastAsia="Dialog" w:cs="Dialog"/>
                <w:sz w:val="32"/>
                <w:szCs w:val="32"/>
              </w:rPr>
              <w:t>、收入总表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3</w:t>
            </w:r>
            <w:r>
              <w:rPr>
                <w:rFonts w:hint="eastAsia" w:ascii="Dialog" w:hAnsi="Times New Roman" w:eastAsia="Dialog" w:cs="Dialog"/>
                <w:sz w:val="32"/>
                <w:szCs w:val="32"/>
              </w:rPr>
              <w:t>、支出总表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4</w:t>
            </w:r>
            <w:r>
              <w:rPr>
                <w:rFonts w:hint="eastAsia" w:ascii="Dialog" w:hAnsi="Times New Roman" w:eastAsia="Dialog" w:cs="Dialog"/>
                <w:sz w:val="32"/>
                <w:szCs w:val="32"/>
              </w:rPr>
              <w:t>、支出预算分类汇总表（按政府预算经济分类）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5</w:t>
            </w:r>
            <w:r>
              <w:rPr>
                <w:rFonts w:hint="eastAsia" w:ascii="Dialog" w:hAnsi="Times New Roman" w:eastAsia="Dialog" w:cs="Dialog"/>
                <w:sz w:val="32"/>
                <w:szCs w:val="32"/>
              </w:rPr>
              <w:t>、支出预算分类汇总表（按部门预算经济分类）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6</w:t>
            </w:r>
            <w:r>
              <w:rPr>
                <w:rFonts w:hint="eastAsia" w:ascii="Dialog" w:hAnsi="Times New Roman" w:eastAsia="Dialog" w:cs="Dialog"/>
                <w:sz w:val="32"/>
                <w:szCs w:val="32"/>
              </w:rPr>
              <w:t>、财政拨款收支总表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7</w:t>
            </w:r>
            <w:r>
              <w:rPr>
                <w:rFonts w:hint="eastAsia" w:ascii="Dialog" w:hAnsi="Times New Roman" w:eastAsia="Dialog" w:cs="Dialog"/>
                <w:sz w:val="32"/>
                <w:szCs w:val="32"/>
              </w:rPr>
              <w:t>、一般公共预算支出表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8</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9</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10</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11</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12</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13</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14</w:t>
            </w:r>
            <w:r>
              <w:rPr>
                <w:rFonts w:hint="eastAsia" w:ascii="Dialog" w:hAnsi="Times New Roman" w:eastAsia="Dialog" w:cs="Dialog"/>
                <w:sz w:val="32"/>
                <w:szCs w:val="32"/>
              </w:rPr>
              <w:t>、一般公共预算“三公”经费支出表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15</w:t>
            </w:r>
            <w:r>
              <w:rPr>
                <w:rFonts w:hint="eastAsia" w:ascii="Dialog" w:hAnsi="Times New Roman" w:eastAsia="Dialog" w:cs="Dialog"/>
                <w:sz w:val="32"/>
                <w:szCs w:val="32"/>
              </w:rPr>
              <w:t>、政府性基金预算支出表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16</w:t>
            </w:r>
            <w:r>
              <w:rPr>
                <w:rFonts w:hint="eastAsia" w:ascii="Dialog" w:hAnsi="Times New Roman" w:eastAsia="Dialog" w:cs="Dialog"/>
                <w:sz w:val="32"/>
                <w:szCs w:val="32"/>
              </w:rPr>
              <w:t>、政府性基金预算支出分类汇总表（按政府预算经济分类）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17</w:t>
            </w:r>
            <w:r>
              <w:rPr>
                <w:rFonts w:hint="eastAsia" w:ascii="Dialog" w:hAnsi="Times New Roman" w:eastAsia="Dialog" w:cs="Dialog"/>
                <w:sz w:val="32"/>
                <w:szCs w:val="32"/>
              </w:rPr>
              <w:t>、政府性基金预算支出分类汇总表（按部门预算经济分类）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18</w:t>
            </w:r>
            <w:r>
              <w:rPr>
                <w:rFonts w:hint="eastAsia" w:ascii="Dialog" w:hAnsi="Times New Roman" w:eastAsia="Dialog" w:cs="Dialog"/>
                <w:sz w:val="32"/>
                <w:szCs w:val="32"/>
              </w:rPr>
              <w:t>、国有资本经营预算支出表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19</w:t>
            </w:r>
            <w:r>
              <w:rPr>
                <w:rFonts w:hint="eastAsia" w:ascii="Dialog" w:hAnsi="Times New Roman" w:eastAsia="Dialog" w:cs="Dialog"/>
                <w:sz w:val="32"/>
                <w:szCs w:val="32"/>
              </w:rPr>
              <w:t>、财政专户管理资金预算支出表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20</w:t>
            </w:r>
            <w:r>
              <w:rPr>
                <w:rFonts w:hint="eastAsia" w:ascii="Dialog" w:hAnsi="Times New Roman" w:eastAsia="Dialog" w:cs="Dialog"/>
                <w:sz w:val="32"/>
                <w:szCs w:val="32"/>
              </w:rPr>
              <w:t>、专项资金预算汇总表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21</w:t>
            </w:r>
            <w:r>
              <w:rPr>
                <w:rFonts w:hint="eastAsia" w:ascii="Dialog" w:hAnsi="Times New Roman" w:eastAsia="Dialog" w:cs="Dialog"/>
                <w:sz w:val="32"/>
                <w:szCs w:val="32"/>
              </w:rPr>
              <w:t>、项目支出绩效目标表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22</w:t>
            </w:r>
            <w:r>
              <w:rPr>
                <w:rFonts w:hint="eastAsia" w:ascii="Dialog" w:hAnsi="Times New Roman" w:eastAsia="Dialog" w:cs="Dialog"/>
                <w:sz w:val="32"/>
                <w:szCs w:val="32"/>
              </w:rPr>
              <w:t>、单位整体支出绩效目标表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23</w:t>
            </w:r>
            <w:r>
              <w:rPr>
                <w:rFonts w:hint="eastAsia" w:ascii="Dialog" w:hAnsi="Times New Roman" w:eastAsia="Dialog" w:cs="Dialog"/>
                <w:sz w:val="32"/>
                <w:szCs w:val="32"/>
              </w:rPr>
              <w:t>、一般公共预算基本支出表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color w:val="FF0000"/>
                <w:sz w:val="32"/>
                <w:szCs w:val="32"/>
              </w:rPr>
            </w:pPr>
            <w:r>
              <w:rPr>
                <w:rFonts w:hint="eastAsia" w:ascii="Dialog" w:hAnsi="Times New Roman" w:eastAsia="Dialog" w:cs="Dialog"/>
                <w:color w:val="FF0000"/>
                <w:sz w:val="32"/>
                <w:szCs w:val="32"/>
              </w:rPr>
              <w:t>注：以上单位预算公开报表中，空表表示本单位无相关收支情况。</w:t>
            </w:r>
          </w:p>
        </w:tc>
      </w:tr>
      <w:tr>
        <w:tblPrEx>
          <w:tblCellMar>
            <w:top w:w="0" w:type="dxa"/>
            <w:left w:w="0" w:type="dxa"/>
            <w:bottom w:w="0" w:type="dxa"/>
            <w:right w:w="0" w:type="dxa"/>
          </w:tblCellMar>
        </w:tblPrEx>
        <w:trPr>
          <w:trHeight w:val="28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28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2024</w:t>
            </w:r>
            <w:r>
              <w:rPr>
                <w:rFonts w:hint="eastAsia" w:ascii="Dialog" w:hAnsi="Times New Roman" w:eastAsia="Dialog" w:cs="Dialog"/>
                <w:sz w:val="32"/>
                <w:szCs w:val="32"/>
              </w:rPr>
              <w:t>年单位预算说明</w:t>
            </w:r>
          </w:p>
        </w:tc>
      </w:tr>
      <w:tr>
        <w:tblPrEx>
          <w:tblCellMar>
            <w:top w:w="0" w:type="dxa"/>
            <w:left w:w="0" w:type="dxa"/>
            <w:bottom w:w="0" w:type="dxa"/>
            <w:right w:w="0" w:type="dxa"/>
          </w:tblCellMar>
        </w:tblPrEx>
        <w:trPr>
          <w:trHeight w:val="28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一、单位基本概况</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（一）职能职责</w:t>
            </w:r>
          </w:p>
        </w:tc>
      </w:tr>
      <w:tr>
        <w:tblPrEx>
          <w:tblCellMar>
            <w:top w:w="0" w:type="dxa"/>
            <w:left w:w="0" w:type="dxa"/>
            <w:bottom w:w="0" w:type="dxa"/>
            <w:right w:w="0" w:type="dxa"/>
          </w:tblCellMar>
        </w:tblPrEx>
        <w:trPr>
          <w:trHeight w:val="1588"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Dialog" w:hAnsi="Times New Roman" w:eastAsia="Dialog" w:cs="Dialog"/>
                <w:sz w:val="32"/>
                <w:szCs w:val="32"/>
              </w:rPr>
              <w:t>湖南东洞庭湖国家级自然保护区是湖南省最早成立的湿地类型保护区，主要保护对象为区域内以鸟类、麋鹿等为代表的野生动物资源及其栖息地和以东洞庭湖为主体的湿地生态系统。东洞庭湖是洞庭湖的本底湖，其独特和多样化的湿地生态环境，孕育和承载了极其丰富的湿地自然资源。</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（二）机构设置</w:t>
            </w:r>
          </w:p>
        </w:tc>
      </w:tr>
      <w:tr>
        <w:tblPrEx>
          <w:tblCellMar>
            <w:top w:w="0" w:type="dxa"/>
            <w:left w:w="0" w:type="dxa"/>
            <w:bottom w:w="0" w:type="dxa"/>
            <w:right w:w="0" w:type="dxa"/>
          </w:tblCellMar>
        </w:tblPrEx>
        <w:trPr>
          <w:trHeight w:val="1697"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widowControl/>
              <w:spacing w:line="600" w:lineRule="exact"/>
              <w:ind w:firstLine="640" w:firstLineChars="200"/>
              <w:rPr>
                <w:rFonts w:ascii="Times New Roman" w:hAnsi="Times New Roman" w:eastAsia="仿宋_GB2312" w:cs="Times New Roman"/>
                <w:color w:val="auto"/>
                <w:sz w:val="32"/>
                <w:szCs w:val="32"/>
              </w:rPr>
            </w:pPr>
            <w:r>
              <w:rPr>
                <w:rFonts w:ascii="宋体" w:hAnsi="Times New Roman" w:eastAsia="宋体" w:cs="宋体"/>
                <w:sz w:val="32"/>
                <w:szCs w:val="32"/>
              </w:rPr>
              <w:t xml:space="preserve">  </w:t>
            </w:r>
            <w:r>
              <w:rPr>
                <w:rFonts w:hint="eastAsia" w:ascii="Dialog" w:hAnsi="Times New Roman" w:eastAsia="Dialog" w:cs="Dialog"/>
                <w:sz w:val="32"/>
                <w:szCs w:val="32"/>
              </w:rPr>
              <w:t>湖南东洞庭湖国家级自然保护区管理局，为副处级公益一类事业单位，下设5个副科级分支机构：采桑湖管理站、丁字堤管理站、红旗湖管理站、春风管理站、君山后湖管理站。2024年初在职人员44人，退休人员15人。</w:t>
            </w:r>
          </w:p>
          <w:p>
            <w:pPr>
              <w:spacing w:line="375" w:lineRule="exact"/>
              <w:ind w:left="20"/>
              <w:rPr>
                <w:rFonts w:ascii="宋体" w:hAnsi="Times New Roman" w:eastAsia="宋体" w:cs="宋体"/>
                <w:sz w:val="32"/>
                <w:szCs w:val="32"/>
              </w:rPr>
            </w:pP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二、单位预算单位构成</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本单位预算仅含本级预算。</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三、单位收支总体情况</w:t>
            </w:r>
          </w:p>
        </w:tc>
      </w:tr>
      <w:tr>
        <w:tblPrEx>
          <w:tblCellMar>
            <w:top w:w="0" w:type="dxa"/>
            <w:left w:w="0" w:type="dxa"/>
            <w:bottom w:w="0" w:type="dxa"/>
            <w:right w:w="0" w:type="dxa"/>
          </w:tblCellMar>
        </w:tblPrEx>
        <w:trPr>
          <w:trHeight w:val="1391"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2024</w:t>
            </w:r>
            <w:r>
              <w:rPr>
                <w:rFonts w:hint="eastAsia" w:ascii="宋体" w:hAnsi="Times New Roman" w:eastAsia="宋体" w:cs="宋体"/>
                <w:sz w:val="32"/>
                <w:szCs w:val="32"/>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Pr>
                <w:rFonts w:ascii="宋体" w:hAnsi="Times New Roman" w:eastAsia="宋体" w:cs="宋体"/>
                <w:sz w:val="32"/>
                <w:szCs w:val="32"/>
              </w:rPr>
              <w:t>15</w:t>
            </w:r>
            <w:r>
              <w:rPr>
                <w:rFonts w:hint="eastAsia" w:ascii="宋体" w:hAnsi="Times New Roman" w:eastAsia="宋体" w:cs="宋体"/>
                <w:sz w:val="32"/>
                <w:szCs w:val="32"/>
              </w:rPr>
              <w:t>、</w:t>
            </w:r>
            <w:r>
              <w:rPr>
                <w:rFonts w:ascii="宋体" w:hAnsi="Times New Roman" w:eastAsia="宋体" w:cs="宋体"/>
                <w:sz w:val="32"/>
                <w:szCs w:val="32"/>
              </w:rPr>
              <w:t>16</w:t>
            </w:r>
            <w:r>
              <w:rPr>
                <w:rFonts w:hint="eastAsia" w:ascii="宋体" w:hAnsi="Times New Roman" w:eastAsia="宋体" w:cs="宋体"/>
                <w:sz w:val="32"/>
                <w:szCs w:val="32"/>
              </w:rPr>
              <w:t>、</w:t>
            </w:r>
            <w:r>
              <w:rPr>
                <w:rFonts w:ascii="宋体" w:hAnsi="Times New Roman" w:eastAsia="宋体" w:cs="宋体"/>
                <w:sz w:val="32"/>
                <w:szCs w:val="32"/>
              </w:rPr>
              <w:t>17</w:t>
            </w:r>
            <w:r>
              <w:rPr>
                <w:rFonts w:hint="eastAsia" w:ascii="宋体" w:hAnsi="Times New Roman" w:eastAsia="宋体" w:cs="宋体"/>
                <w:sz w:val="32"/>
                <w:szCs w:val="32"/>
              </w:rPr>
              <w:t>、</w:t>
            </w:r>
            <w:r>
              <w:rPr>
                <w:rFonts w:ascii="宋体" w:hAnsi="Times New Roman" w:eastAsia="宋体" w:cs="宋体"/>
                <w:sz w:val="32"/>
                <w:szCs w:val="32"/>
              </w:rPr>
              <w:t>18</w:t>
            </w:r>
            <w:r>
              <w:rPr>
                <w:rFonts w:hint="eastAsia" w:ascii="宋体" w:hAnsi="Times New Roman" w:eastAsia="宋体" w:cs="宋体"/>
                <w:sz w:val="32"/>
                <w:szCs w:val="32"/>
              </w:rPr>
              <w:t>、</w:t>
            </w:r>
            <w:r>
              <w:rPr>
                <w:rFonts w:ascii="宋体" w:hAnsi="Times New Roman" w:eastAsia="宋体" w:cs="宋体"/>
                <w:sz w:val="32"/>
                <w:szCs w:val="32"/>
              </w:rPr>
              <w:t>19</w:t>
            </w:r>
            <w:r>
              <w:rPr>
                <w:rFonts w:hint="eastAsia" w:ascii="宋体" w:hAnsi="Times New Roman" w:eastAsia="宋体" w:cs="宋体"/>
                <w:sz w:val="32"/>
                <w:szCs w:val="32"/>
              </w:rPr>
              <w:t>表均为空。</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（一）收入预算</w:t>
            </w:r>
          </w:p>
        </w:tc>
      </w:tr>
      <w:tr>
        <w:tblPrEx>
          <w:tblCellMar>
            <w:top w:w="0" w:type="dxa"/>
            <w:left w:w="0" w:type="dxa"/>
            <w:bottom w:w="0" w:type="dxa"/>
            <w:right w:w="0" w:type="dxa"/>
          </w:tblCellMar>
        </w:tblPrEx>
        <w:trPr>
          <w:trHeight w:val="2818"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包括一般公共预算、政府性基金、国有资本经营预算等财政拨款收入，以及经营收入、事业收入等单位资金。</w:t>
            </w:r>
            <w:r>
              <w:rPr>
                <w:rFonts w:ascii="宋体" w:hAnsi="Times New Roman" w:eastAsia="宋体" w:cs="宋体"/>
                <w:sz w:val="32"/>
                <w:szCs w:val="32"/>
              </w:rPr>
              <w:t>2024</w:t>
            </w:r>
            <w:r>
              <w:rPr>
                <w:rFonts w:hint="eastAsia" w:ascii="宋体" w:hAnsi="Times New Roman" w:eastAsia="宋体" w:cs="宋体"/>
                <w:sz w:val="32"/>
                <w:szCs w:val="32"/>
              </w:rPr>
              <w:t>年度年本单位收入预算</w:t>
            </w:r>
            <w:r>
              <w:rPr>
                <w:rFonts w:ascii="宋体" w:hAnsi="Times New Roman" w:eastAsia="宋体" w:cs="宋体"/>
                <w:sz w:val="32"/>
                <w:szCs w:val="32"/>
              </w:rPr>
              <w:t>774.08</w:t>
            </w:r>
            <w:r>
              <w:rPr>
                <w:rFonts w:hint="eastAsia" w:ascii="宋体" w:hAnsi="Times New Roman" w:eastAsia="宋体" w:cs="宋体"/>
                <w:sz w:val="32"/>
                <w:szCs w:val="32"/>
              </w:rPr>
              <w:t>万元，其中，一般公共预算拨款</w:t>
            </w:r>
            <w:r>
              <w:rPr>
                <w:rFonts w:ascii="宋体" w:hAnsi="Times New Roman" w:eastAsia="宋体" w:cs="宋体"/>
                <w:sz w:val="32"/>
                <w:szCs w:val="32"/>
              </w:rPr>
              <w:t>774.08</w:t>
            </w:r>
            <w:r>
              <w:rPr>
                <w:rFonts w:hint="eastAsia" w:ascii="宋体" w:hAnsi="Times New Roman" w:eastAsia="宋体" w:cs="宋体"/>
                <w:sz w:val="32"/>
                <w:szCs w:val="32"/>
              </w:rPr>
              <w:t>万元，政府性基金预算资金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17</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，国有资本经营预算资金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18</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，财政专户管理资金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19</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，上级补助收入资金</w:t>
            </w:r>
            <w:r>
              <w:rPr>
                <w:rFonts w:ascii="宋体" w:hAnsi="Times New Roman" w:eastAsia="宋体" w:cs="宋体"/>
                <w:sz w:val="32"/>
                <w:szCs w:val="32"/>
              </w:rPr>
              <w:t>0.00</w:t>
            </w:r>
            <w:r>
              <w:rPr>
                <w:rFonts w:hint="eastAsia" w:ascii="宋体" w:hAnsi="Times New Roman" w:eastAsia="宋体" w:cs="宋体"/>
                <w:sz w:val="32"/>
                <w:szCs w:val="32"/>
              </w:rPr>
              <w:t>万元，事业单位经营收入资金</w:t>
            </w:r>
            <w:r>
              <w:rPr>
                <w:rFonts w:ascii="宋体" w:hAnsi="Times New Roman" w:eastAsia="宋体" w:cs="宋体"/>
                <w:sz w:val="32"/>
                <w:szCs w:val="32"/>
              </w:rPr>
              <w:t>0.00</w:t>
            </w:r>
            <w:r>
              <w:rPr>
                <w:rFonts w:hint="eastAsia" w:ascii="宋体" w:hAnsi="Times New Roman" w:eastAsia="宋体" w:cs="宋体"/>
                <w:sz w:val="32"/>
                <w:szCs w:val="32"/>
              </w:rPr>
              <w:t>万元，上年结转结余</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数据来源见表</w:t>
            </w:r>
            <w:r>
              <w:rPr>
                <w:rFonts w:ascii="宋体" w:hAnsi="Times New Roman" w:eastAsia="宋体" w:cs="宋体"/>
                <w:sz w:val="32"/>
                <w:szCs w:val="32"/>
              </w:rPr>
              <w:t>2)</w:t>
            </w:r>
            <w:r>
              <w:rPr>
                <w:rFonts w:hint="eastAsia" w:ascii="宋体" w:hAnsi="Times New Roman" w:eastAsia="宋体" w:cs="宋体"/>
                <w:sz w:val="32"/>
                <w:szCs w:val="32"/>
              </w:rPr>
              <w:t>本单位</w:t>
            </w:r>
            <w:r>
              <w:rPr>
                <w:rFonts w:ascii="宋体" w:hAnsi="Times New Roman" w:eastAsia="宋体" w:cs="宋体"/>
                <w:sz w:val="32"/>
                <w:szCs w:val="32"/>
              </w:rPr>
              <w:t>2024</w:t>
            </w:r>
            <w:r>
              <w:rPr>
                <w:rFonts w:hint="eastAsia" w:ascii="宋体" w:hAnsi="Times New Roman" w:eastAsia="宋体" w:cs="宋体"/>
                <w:sz w:val="32"/>
                <w:szCs w:val="32"/>
              </w:rPr>
              <w:t>年收入较去年增加115.24万元，主要是因为在职人员较去年预算增加2人、增加了两台公务船的预算经费、增加了三个预算内项目经费等。</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（二）支出预算</w:t>
            </w:r>
          </w:p>
        </w:tc>
      </w:tr>
      <w:tr>
        <w:tblPrEx>
          <w:tblCellMar>
            <w:top w:w="0" w:type="dxa"/>
            <w:left w:w="0" w:type="dxa"/>
            <w:bottom w:w="0" w:type="dxa"/>
            <w:right w:w="0" w:type="dxa"/>
          </w:tblCellMar>
        </w:tblPrEx>
        <w:trPr>
          <w:trHeight w:val="171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2024</w:t>
            </w:r>
            <w:r>
              <w:rPr>
                <w:rFonts w:hint="eastAsia" w:ascii="宋体" w:hAnsi="Times New Roman" w:eastAsia="宋体" w:cs="宋体"/>
                <w:sz w:val="32"/>
                <w:szCs w:val="32"/>
              </w:rPr>
              <w:t>年本单位支出预算</w:t>
            </w:r>
            <w:r>
              <w:rPr>
                <w:rFonts w:ascii="宋体" w:hAnsi="Times New Roman" w:eastAsia="宋体" w:cs="宋体"/>
                <w:sz w:val="32"/>
                <w:szCs w:val="32"/>
              </w:rPr>
              <w:t>774.08</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72.85</w:t>
            </w:r>
            <w:r>
              <w:rPr>
                <w:rFonts w:hint="eastAsia" w:ascii="宋体" w:hAnsi="Times New Roman" w:eastAsia="宋体" w:cs="宋体"/>
                <w:sz w:val="32"/>
                <w:szCs w:val="32"/>
              </w:rPr>
              <w:t>万元，</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41.92</w:t>
            </w:r>
            <w:r>
              <w:rPr>
                <w:rFonts w:hint="eastAsia" w:ascii="宋体" w:hAnsi="Times New Roman" w:eastAsia="宋体" w:cs="宋体"/>
                <w:sz w:val="32"/>
                <w:szCs w:val="32"/>
              </w:rPr>
              <w:t>万元，</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611.25</w:t>
            </w:r>
            <w:r>
              <w:rPr>
                <w:rFonts w:hint="eastAsia" w:ascii="宋体" w:hAnsi="Times New Roman" w:eastAsia="宋体" w:cs="宋体"/>
                <w:sz w:val="32"/>
                <w:szCs w:val="32"/>
              </w:rPr>
              <w:t>万元，</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48.06</w:t>
            </w:r>
            <w:r>
              <w:rPr>
                <w:rFonts w:hint="eastAsia" w:ascii="宋体" w:hAnsi="Times New Roman" w:eastAsia="宋体" w:cs="宋体"/>
                <w:sz w:val="32"/>
                <w:szCs w:val="32"/>
              </w:rPr>
              <w:t>万元，支出较去年增加115.24万元，主要是因为在职人员较去年预算增加2人、增加了两台公务船的预算经费、增加了三个预算内项目经费等。</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四、一般公共预算拨款支出预算</w:t>
            </w:r>
          </w:p>
        </w:tc>
      </w:tr>
      <w:tr>
        <w:tblPrEx>
          <w:tblCellMar>
            <w:top w:w="0" w:type="dxa"/>
            <w:left w:w="0" w:type="dxa"/>
            <w:bottom w:w="0" w:type="dxa"/>
            <w:right w:w="0" w:type="dxa"/>
          </w:tblCellMar>
        </w:tblPrEx>
        <w:trPr>
          <w:trHeight w:val="1285"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2024</w:t>
            </w:r>
            <w:r>
              <w:rPr>
                <w:rFonts w:hint="eastAsia" w:ascii="宋体" w:hAnsi="Times New Roman" w:eastAsia="宋体" w:cs="宋体"/>
                <w:sz w:val="32"/>
                <w:szCs w:val="32"/>
              </w:rPr>
              <w:t>年一般公共预算拨款支出预算</w:t>
            </w:r>
            <w:r>
              <w:rPr>
                <w:rFonts w:ascii="宋体" w:hAnsi="Times New Roman" w:eastAsia="宋体" w:cs="宋体"/>
                <w:sz w:val="32"/>
                <w:szCs w:val="32"/>
              </w:rPr>
              <w:t>774.08</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72.85</w:t>
            </w:r>
            <w:r>
              <w:rPr>
                <w:rFonts w:hint="eastAsia" w:ascii="宋体" w:hAnsi="Times New Roman" w:eastAsia="宋体" w:cs="宋体"/>
                <w:sz w:val="32"/>
                <w:szCs w:val="32"/>
              </w:rPr>
              <w:t>万元，占</w:t>
            </w:r>
            <w:r>
              <w:rPr>
                <w:rFonts w:ascii="宋体" w:hAnsi="Times New Roman" w:eastAsia="宋体" w:cs="宋体"/>
                <w:sz w:val="32"/>
                <w:szCs w:val="32"/>
              </w:rPr>
              <w:t>9.41%</w:t>
            </w:r>
            <w:r>
              <w:rPr>
                <w:rFonts w:hint="eastAsia" w:ascii="宋体" w:hAnsi="Times New Roman" w:eastAsia="宋体" w:cs="宋体"/>
                <w:sz w:val="32"/>
                <w:szCs w:val="32"/>
              </w:rPr>
              <w:t>；</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41.92</w:t>
            </w:r>
            <w:r>
              <w:rPr>
                <w:rFonts w:hint="eastAsia" w:ascii="宋体" w:hAnsi="Times New Roman" w:eastAsia="宋体" w:cs="宋体"/>
                <w:sz w:val="32"/>
                <w:szCs w:val="32"/>
              </w:rPr>
              <w:t>万元，占</w:t>
            </w:r>
            <w:r>
              <w:rPr>
                <w:rFonts w:ascii="宋体" w:hAnsi="Times New Roman" w:eastAsia="宋体" w:cs="宋体"/>
                <w:sz w:val="32"/>
                <w:szCs w:val="32"/>
              </w:rPr>
              <w:t>5.42%</w:t>
            </w:r>
            <w:r>
              <w:rPr>
                <w:rFonts w:hint="eastAsia" w:ascii="宋体" w:hAnsi="Times New Roman" w:eastAsia="宋体" w:cs="宋体"/>
                <w:sz w:val="32"/>
                <w:szCs w:val="32"/>
              </w:rPr>
              <w:t>；</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611.25</w:t>
            </w:r>
            <w:r>
              <w:rPr>
                <w:rFonts w:hint="eastAsia" w:ascii="宋体" w:hAnsi="Times New Roman" w:eastAsia="宋体" w:cs="宋体"/>
                <w:sz w:val="32"/>
                <w:szCs w:val="32"/>
              </w:rPr>
              <w:t>万元，占</w:t>
            </w:r>
            <w:r>
              <w:rPr>
                <w:rFonts w:ascii="宋体" w:hAnsi="Times New Roman" w:eastAsia="宋体" w:cs="宋体"/>
                <w:sz w:val="32"/>
                <w:szCs w:val="32"/>
              </w:rPr>
              <w:t>78.96%</w:t>
            </w:r>
            <w:r>
              <w:rPr>
                <w:rFonts w:hint="eastAsia" w:ascii="宋体" w:hAnsi="Times New Roman" w:eastAsia="宋体" w:cs="宋体"/>
                <w:sz w:val="32"/>
                <w:szCs w:val="32"/>
              </w:rPr>
              <w:t>；</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48.06</w:t>
            </w:r>
            <w:r>
              <w:rPr>
                <w:rFonts w:hint="eastAsia" w:ascii="宋体" w:hAnsi="Times New Roman" w:eastAsia="宋体" w:cs="宋体"/>
                <w:sz w:val="32"/>
                <w:szCs w:val="32"/>
              </w:rPr>
              <w:t>万元，占</w:t>
            </w:r>
            <w:r>
              <w:rPr>
                <w:rFonts w:ascii="宋体" w:hAnsi="Times New Roman" w:eastAsia="宋体" w:cs="宋体"/>
                <w:sz w:val="32"/>
                <w:szCs w:val="32"/>
              </w:rPr>
              <w:t>6.21%</w:t>
            </w:r>
            <w:r>
              <w:rPr>
                <w:rFonts w:hint="eastAsia" w:ascii="宋体" w:hAnsi="Times New Roman" w:eastAsia="宋体" w:cs="宋体"/>
                <w:sz w:val="32"/>
                <w:szCs w:val="32"/>
              </w:rPr>
              <w:t>；具体安排情况如下：</w:t>
            </w:r>
          </w:p>
        </w:tc>
      </w:tr>
      <w:tr>
        <w:tblPrEx>
          <w:tblCellMar>
            <w:top w:w="0" w:type="dxa"/>
            <w:left w:w="0" w:type="dxa"/>
            <w:bottom w:w="0" w:type="dxa"/>
            <w:right w:w="0" w:type="dxa"/>
          </w:tblCellMar>
        </w:tblPrEx>
        <w:trPr>
          <w:trHeight w:val="1301"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（一）基本支出：</w:t>
            </w:r>
            <w:r>
              <w:rPr>
                <w:rFonts w:ascii="宋体" w:hAnsi="Times New Roman" w:eastAsia="宋体" w:cs="宋体"/>
                <w:sz w:val="32"/>
                <w:szCs w:val="32"/>
              </w:rPr>
              <w:t>2024</w:t>
            </w:r>
            <w:r>
              <w:rPr>
                <w:rFonts w:hint="eastAsia" w:ascii="宋体" w:hAnsi="Times New Roman" w:eastAsia="宋体" w:cs="宋体"/>
                <w:sz w:val="32"/>
                <w:szCs w:val="32"/>
              </w:rPr>
              <w:t>年基本支出年初预算数为</w:t>
            </w:r>
            <w:r>
              <w:rPr>
                <w:rFonts w:ascii="宋体" w:hAnsi="Times New Roman" w:eastAsia="宋体" w:cs="宋体"/>
                <w:sz w:val="32"/>
                <w:szCs w:val="32"/>
              </w:rPr>
              <w:t>731.58</w:t>
            </w:r>
            <w:r>
              <w:rPr>
                <w:rFonts w:hint="eastAsia" w:ascii="宋体" w:hAnsi="Times New Roman" w:eastAsia="宋体" w:cs="宋体"/>
                <w:sz w:val="32"/>
                <w:szCs w:val="32"/>
              </w:rPr>
              <w:t>万元（数据来源见表</w:t>
            </w:r>
            <w:r>
              <w:rPr>
                <w:rFonts w:ascii="宋体" w:hAnsi="Times New Roman" w:eastAsia="宋体" w:cs="宋体"/>
                <w:sz w:val="32"/>
                <w:szCs w:val="32"/>
              </w:rPr>
              <w:t>23</w:t>
            </w:r>
            <w:r>
              <w:rPr>
                <w:rFonts w:hint="eastAsia" w:ascii="宋体" w:hAnsi="Times New Roman" w:eastAsia="宋体" w:cs="宋体"/>
                <w:sz w:val="32"/>
                <w:szCs w:val="32"/>
              </w:rPr>
              <w:t>），是指为保障单位机构正常运转、完成日常工作任务而发生的各项支出，包括用于基本工资、津贴补贴等人员经费以及办公费、印刷费、水电费、差旅费等日常公用经费。</w:t>
            </w:r>
          </w:p>
        </w:tc>
      </w:tr>
      <w:tr>
        <w:tblPrEx>
          <w:tblCellMar>
            <w:top w:w="0" w:type="dxa"/>
            <w:left w:w="0" w:type="dxa"/>
            <w:bottom w:w="0" w:type="dxa"/>
            <w:right w:w="0" w:type="dxa"/>
          </w:tblCellMar>
        </w:tblPrEx>
        <w:trPr>
          <w:trHeight w:val="3055"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（二）项目支出：</w:t>
            </w:r>
            <w:r>
              <w:rPr>
                <w:rFonts w:ascii="宋体" w:hAnsi="Times New Roman" w:eastAsia="宋体" w:cs="宋体"/>
                <w:sz w:val="32"/>
                <w:szCs w:val="32"/>
              </w:rPr>
              <w:t>2024</w:t>
            </w:r>
            <w:r>
              <w:rPr>
                <w:rFonts w:hint="eastAsia" w:ascii="宋体" w:hAnsi="Times New Roman" w:eastAsia="宋体" w:cs="宋体"/>
                <w:sz w:val="32"/>
                <w:szCs w:val="32"/>
              </w:rPr>
              <w:t>年项目支出年初预算数为</w:t>
            </w:r>
            <w:r>
              <w:rPr>
                <w:rFonts w:ascii="宋体" w:hAnsi="Times New Roman" w:eastAsia="宋体" w:cs="宋体"/>
                <w:sz w:val="32"/>
                <w:szCs w:val="32"/>
              </w:rPr>
              <w:t>42.50</w:t>
            </w:r>
            <w:r>
              <w:rPr>
                <w:rFonts w:hint="eastAsia" w:ascii="宋体" w:hAnsi="Times New Roman" w:eastAsia="宋体" w:cs="宋体"/>
                <w:sz w:val="32"/>
                <w:szCs w:val="32"/>
              </w:rPr>
              <w:t>万元（数据来源见表</w:t>
            </w:r>
            <w:r>
              <w:rPr>
                <w:rFonts w:ascii="宋体" w:hAnsi="Times New Roman" w:eastAsia="宋体" w:cs="宋体"/>
                <w:sz w:val="32"/>
                <w:szCs w:val="32"/>
              </w:rPr>
              <w:t>20</w:t>
            </w:r>
            <w:r>
              <w:rPr>
                <w:rFonts w:hint="eastAsia" w:ascii="宋体" w:hAnsi="Times New Roman" w:eastAsia="宋体" w:cs="宋体"/>
                <w:sz w:val="32"/>
                <w:szCs w:val="32"/>
              </w:rPr>
              <w:t>），是指单位为完成特定行政工作任务或事业发展目标而发生的支出，包括有关业务工作经费、运行维护经费、其他事业发展资金等。其中：环保专项</w:t>
            </w:r>
            <w:r>
              <w:rPr>
                <w:rFonts w:ascii="宋体" w:hAnsi="Times New Roman" w:eastAsia="宋体" w:cs="宋体"/>
                <w:sz w:val="32"/>
                <w:szCs w:val="32"/>
              </w:rPr>
              <w:t>-</w:t>
            </w:r>
            <w:r>
              <w:rPr>
                <w:rFonts w:hint="eastAsia" w:ascii="宋体" w:hAnsi="Times New Roman" w:eastAsia="宋体" w:cs="宋体"/>
                <w:sz w:val="32"/>
                <w:szCs w:val="32"/>
              </w:rPr>
              <w:t>生态保护修复和候鸟保护专项支出</w:t>
            </w:r>
            <w:r>
              <w:rPr>
                <w:rFonts w:ascii="宋体" w:hAnsi="Times New Roman" w:eastAsia="宋体" w:cs="宋体"/>
                <w:sz w:val="32"/>
                <w:szCs w:val="32"/>
              </w:rPr>
              <w:t>18.00</w:t>
            </w:r>
            <w:r>
              <w:rPr>
                <w:rFonts w:hint="eastAsia" w:ascii="宋体" w:hAnsi="Times New Roman" w:eastAsia="宋体" w:cs="宋体"/>
                <w:sz w:val="32"/>
                <w:szCs w:val="32"/>
              </w:rPr>
              <w:t>万元，主要用于保护区范围内的日常生态保护修护和鸟类保护方面</w:t>
            </w:r>
            <w:r>
              <w:rPr>
                <w:rFonts w:ascii="宋体" w:hAnsi="Times New Roman" w:eastAsia="宋体" w:cs="宋体"/>
                <w:sz w:val="32"/>
                <w:szCs w:val="32"/>
              </w:rPr>
              <w:t>,</w:t>
            </w:r>
            <w:r>
              <w:rPr>
                <w:rFonts w:hint="eastAsia" w:ascii="宋体" w:hAnsi="Times New Roman" w:eastAsia="宋体" w:cs="宋体"/>
                <w:sz w:val="32"/>
                <w:szCs w:val="32"/>
              </w:rPr>
              <w:t>林业产业发展</w:t>
            </w:r>
            <w:r>
              <w:rPr>
                <w:rFonts w:ascii="宋体" w:hAnsi="Times New Roman" w:eastAsia="宋体" w:cs="宋体"/>
                <w:sz w:val="32"/>
                <w:szCs w:val="32"/>
              </w:rPr>
              <w:t>-</w:t>
            </w:r>
            <w:r>
              <w:rPr>
                <w:rFonts w:hint="eastAsia" w:ascii="宋体" w:hAnsi="Times New Roman" w:eastAsia="宋体" w:cs="宋体"/>
                <w:sz w:val="32"/>
                <w:szCs w:val="32"/>
              </w:rPr>
              <w:t>东洞庭湖保护区监测及麋鹿保护经费</w:t>
            </w:r>
            <w:r>
              <w:rPr>
                <w:rFonts w:ascii="宋体" w:hAnsi="Times New Roman" w:eastAsia="宋体" w:cs="宋体"/>
                <w:sz w:val="32"/>
                <w:szCs w:val="32"/>
              </w:rPr>
              <w:t>-1</w:t>
            </w:r>
            <w:r>
              <w:rPr>
                <w:rFonts w:hint="eastAsia" w:ascii="宋体" w:hAnsi="Times New Roman" w:eastAsia="宋体" w:cs="宋体"/>
                <w:sz w:val="32"/>
                <w:szCs w:val="32"/>
              </w:rPr>
              <w:t>专项支出</w:t>
            </w:r>
            <w:r>
              <w:rPr>
                <w:rFonts w:ascii="宋体" w:hAnsi="Times New Roman" w:eastAsia="宋体" w:cs="宋体"/>
                <w:sz w:val="32"/>
                <w:szCs w:val="32"/>
              </w:rPr>
              <w:t>20.00</w:t>
            </w:r>
            <w:r>
              <w:rPr>
                <w:rFonts w:hint="eastAsia" w:ascii="宋体" w:hAnsi="Times New Roman" w:eastAsia="宋体" w:cs="宋体"/>
                <w:sz w:val="32"/>
                <w:szCs w:val="32"/>
              </w:rPr>
              <w:t>万元，主要用于保护区的日常监测及麋鹿保护方面</w:t>
            </w:r>
            <w:r>
              <w:rPr>
                <w:rFonts w:ascii="宋体" w:hAnsi="Times New Roman" w:eastAsia="宋体" w:cs="宋体"/>
                <w:sz w:val="32"/>
                <w:szCs w:val="32"/>
              </w:rPr>
              <w:t>,</w:t>
            </w:r>
            <w:r>
              <w:rPr>
                <w:rFonts w:hint="eastAsia" w:ascii="宋体" w:hAnsi="Times New Roman" w:eastAsia="宋体" w:cs="宋体"/>
                <w:sz w:val="32"/>
                <w:szCs w:val="32"/>
              </w:rPr>
              <w:t>林业产业发展专项</w:t>
            </w:r>
            <w:r>
              <w:rPr>
                <w:rFonts w:ascii="宋体" w:hAnsi="Times New Roman" w:eastAsia="宋体" w:cs="宋体"/>
                <w:sz w:val="32"/>
                <w:szCs w:val="32"/>
              </w:rPr>
              <w:t>-</w:t>
            </w:r>
            <w:r>
              <w:rPr>
                <w:rFonts w:hint="eastAsia" w:ascii="宋体" w:hAnsi="Times New Roman" w:eastAsia="宋体" w:cs="宋体"/>
                <w:sz w:val="32"/>
                <w:szCs w:val="32"/>
              </w:rPr>
              <w:t>趸船维修维护经费专项支出</w:t>
            </w:r>
            <w:r>
              <w:rPr>
                <w:rFonts w:ascii="宋体" w:hAnsi="Times New Roman" w:eastAsia="宋体" w:cs="宋体"/>
                <w:sz w:val="32"/>
                <w:szCs w:val="32"/>
              </w:rPr>
              <w:t>4.50</w:t>
            </w:r>
            <w:r>
              <w:rPr>
                <w:rFonts w:hint="eastAsia" w:ascii="宋体" w:hAnsi="Times New Roman" w:eastAsia="宋体" w:cs="宋体"/>
                <w:sz w:val="32"/>
                <w:szCs w:val="32"/>
              </w:rPr>
              <w:t>万元，主要用于公务船舶的维修维护方面。</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五、政府性基金预算支出</w:t>
            </w:r>
          </w:p>
        </w:tc>
      </w:tr>
      <w:tr>
        <w:tblPrEx>
          <w:tblCellMar>
            <w:top w:w="0" w:type="dxa"/>
            <w:left w:w="0" w:type="dxa"/>
            <w:bottom w:w="0" w:type="dxa"/>
            <w:right w:w="0" w:type="dxa"/>
          </w:tblCellMar>
        </w:tblPrEx>
        <w:trPr>
          <w:trHeight w:val="840"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2024</w:t>
            </w:r>
            <w:r>
              <w:rPr>
                <w:rFonts w:hint="eastAsia" w:ascii="宋体" w:hAnsi="Times New Roman" w:eastAsia="宋体" w:cs="宋体"/>
                <w:sz w:val="32"/>
                <w:szCs w:val="32"/>
              </w:rPr>
              <w:t>年度本单位无政府性基金安排的支出，所以公开的附件</w:t>
            </w:r>
            <w:r>
              <w:rPr>
                <w:rFonts w:ascii="宋体" w:hAnsi="Times New Roman" w:eastAsia="宋体" w:cs="宋体"/>
                <w:sz w:val="32"/>
                <w:szCs w:val="32"/>
              </w:rPr>
              <w:t>15-17</w:t>
            </w:r>
            <w:r>
              <w:rPr>
                <w:rFonts w:hint="eastAsia" w:ascii="宋体" w:hAnsi="Times New Roman" w:eastAsia="宋体" w:cs="宋体"/>
                <w:sz w:val="32"/>
                <w:szCs w:val="32"/>
              </w:rPr>
              <w:t>（政府性基金预算）为空。</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六、其他重要事项的情况说明</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（一）机关运行经费</w:t>
            </w:r>
          </w:p>
        </w:tc>
      </w:tr>
      <w:tr>
        <w:tblPrEx>
          <w:tblCellMar>
            <w:top w:w="0" w:type="dxa"/>
            <w:left w:w="0" w:type="dxa"/>
            <w:bottom w:w="0" w:type="dxa"/>
            <w:right w:w="0" w:type="dxa"/>
          </w:tblCellMar>
        </w:tblPrEx>
        <w:trPr>
          <w:trHeight w:val="99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2024</w:t>
            </w:r>
            <w:r>
              <w:rPr>
                <w:rFonts w:hint="eastAsia" w:ascii="宋体" w:hAnsi="Times New Roman" w:eastAsia="宋体" w:cs="宋体"/>
                <w:sz w:val="32"/>
                <w:szCs w:val="32"/>
              </w:rPr>
              <w:t>年机关运行经费当年一般公共预算拨款</w:t>
            </w:r>
            <w:r>
              <w:rPr>
                <w:rFonts w:ascii="宋体" w:hAnsi="Times New Roman" w:eastAsia="宋体" w:cs="宋体"/>
                <w:sz w:val="32"/>
                <w:szCs w:val="32"/>
              </w:rPr>
              <w:t>80.19</w:t>
            </w:r>
            <w:r>
              <w:rPr>
                <w:rFonts w:hint="eastAsia" w:ascii="宋体" w:hAnsi="Times New Roman" w:eastAsia="宋体" w:cs="宋体"/>
                <w:sz w:val="32"/>
                <w:szCs w:val="32"/>
              </w:rPr>
              <w:t>万元（数据来源见表</w:t>
            </w:r>
            <w:r>
              <w:rPr>
                <w:rFonts w:ascii="宋体" w:hAnsi="Times New Roman" w:eastAsia="宋体" w:cs="宋体"/>
                <w:sz w:val="32"/>
                <w:szCs w:val="32"/>
              </w:rPr>
              <w:t>12</w:t>
            </w:r>
            <w:r>
              <w:rPr>
                <w:rFonts w:hint="eastAsia" w:ascii="宋体" w:hAnsi="Times New Roman" w:eastAsia="宋体" w:cs="宋体"/>
                <w:sz w:val="32"/>
                <w:szCs w:val="32"/>
              </w:rPr>
              <w:t>），比上一年增加4.73万元，增加6.27</w:t>
            </w:r>
            <w:r>
              <w:rPr>
                <w:rFonts w:ascii="宋体" w:hAnsi="Times New Roman" w:eastAsia="宋体" w:cs="宋体"/>
                <w:sz w:val="32"/>
                <w:szCs w:val="32"/>
              </w:rPr>
              <w:t>%</w:t>
            </w:r>
            <w:r>
              <w:rPr>
                <w:rFonts w:hint="eastAsia" w:ascii="宋体" w:hAnsi="Times New Roman" w:eastAsia="宋体" w:cs="宋体"/>
                <w:sz w:val="32"/>
                <w:szCs w:val="32"/>
              </w:rPr>
              <w:t>。主要原因是新增两台公务船的运行维护费用。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（二）“三公”经费预算</w:t>
            </w:r>
          </w:p>
        </w:tc>
      </w:tr>
      <w:tr>
        <w:tblPrEx>
          <w:tblCellMar>
            <w:top w:w="0" w:type="dxa"/>
            <w:left w:w="0" w:type="dxa"/>
            <w:bottom w:w="0" w:type="dxa"/>
            <w:right w:w="0" w:type="dxa"/>
          </w:tblCellMar>
        </w:tblPrEx>
        <w:trPr>
          <w:trHeight w:val="1557"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2024</w:t>
            </w:r>
            <w:r>
              <w:rPr>
                <w:rFonts w:hint="eastAsia" w:ascii="宋体" w:hAnsi="Times New Roman" w:eastAsia="宋体" w:cs="宋体"/>
                <w:sz w:val="32"/>
                <w:szCs w:val="32"/>
              </w:rPr>
              <w:t>年“三公”经费预算数</w:t>
            </w:r>
            <w:r>
              <w:rPr>
                <w:rFonts w:hint="eastAsia" w:ascii="宋体" w:hAnsi="Times New Roman" w:eastAsia="宋体" w:cs="宋体"/>
                <w:sz w:val="32"/>
                <w:szCs w:val="32"/>
                <w:lang w:val="en-US" w:eastAsia="zh-CN"/>
              </w:rPr>
              <w:t>50</w:t>
            </w:r>
            <w:r>
              <w:rPr>
                <w:rFonts w:hint="eastAsia" w:ascii="宋体" w:hAnsi="Times New Roman" w:eastAsia="宋体" w:cs="宋体"/>
                <w:sz w:val="32"/>
                <w:szCs w:val="32"/>
              </w:rPr>
              <w:t>.13万元（数据来源见表</w:t>
            </w:r>
            <w:r>
              <w:rPr>
                <w:rFonts w:ascii="宋体" w:hAnsi="Times New Roman" w:eastAsia="宋体" w:cs="宋体"/>
                <w:sz w:val="32"/>
                <w:szCs w:val="32"/>
              </w:rPr>
              <w:t>14</w:t>
            </w:r>
            <w:r>
              <w:rPr>
                <w:rFonts w:hint="eastAsia" w:ascii="宋体" w:hAnsi="Times New Roman" w:eastAsia="宋体" w:cs="宋体"/>
                <w:sz w:val="32"/>
                <w:szCs w:val="32"/>
              </w:rPr>
              <w:t>），其中，公务接待费25.13万元，因公出国（境）费</w:t>
            </w:r>
            <w:r>
              <w:rPr>
                <w:rFonts w:hint="eastAsia" w:ascii="宋体" w:hAnsi="Times New Roman" w:eastAsia="宋体" w:cs="宋体"/>
                <w:sz w:val="32"/>
                <w:szCs w:val="32"/>
                <w:lang w:val="en-US" w:eastAsia="zh-CN"/>
              </w:rPr>
              <w:t>10</w:t>
            </w:r>
            <w:r>
              <w:rPr>
                <w:rFonts w:ascii="宋体" w:hAnsi="Times New Roman" w:eastAsia="宋体" w:cs="宋体"/>
                <w:sz w:val="32"/>
                <w:szCs w:val="32"/>
              </w:rPr>
              <w:t>.00</w:t>
            </w:r>
            <w:r>
              <w:rPr>
                <w:rFonts w:hint="eastAsia" w:ascii="宋体" w:hAnsi="Times New Roman" w:eastAsia="宋体" w:cs="宋体"/>
                <w:sz w:val="32"/>
                <w:szCs w:val="32"/>
              </w:rPr>
              <w:t>万元，公务用车购置及运行费</w:t>
            </w:r>
            <w:r>
              <w:rPr>
                <w:rFonts w:ascii="宋体" w:hAnsi="Times New Roman" w:eastAsia="宋体" w:cs="宋体"/>
                <w:sz w:val="32"/>
                <w:szCs w:val="32"/>
              </w:rPr>
              <w:t>15.00</w:t>
            </w:r>
            <w:r>
              <w:rPr>
                <w:rFonts w:hint="eastAsia" w:ascii="宋体" w:hAnsi="Times New Roman" w:eastAsia="宋体" w:cs="宋体"/>
                <w:sz w:val="32"/>
                <w:szCs w:val="32"/>
              </w:rPr>
              <w:t>万元（其中，公务用车购置费</w:t>
            </w:r>
            <w:r>
              <w:rPr>
                <w:rFonts w:ascii="宋体" w:hAnsi="Times New Roman" w:eastAsia="宋体" w:cs="宋体"/>
                <w:sz w:val="32"/>
                <w:szCs w:val="32"/>
              </w:rPr>
              <w:t>0.00</w:t>
            </w:r>
            <w:r>
              <w:rPr>
                <w:rFonts w:hint="eastAsia" w:ascii="宋体" w:hAnsi="Times New Roman" w:eastAsia="宋体" w:cs="宋体"/>
                <w:sz w:val="32"/>
                <w:szCs w:val="32"/>
              </w:rPr>
              <w:t>万元，公务用车运行费</w:t>
            </w:r>
            <w:r>
              <w:rPr>
                <w:rFonts w:ascii="宋体" w:hAnsi="Times New Roman" w:eastAsia="宋体" w:cs="宋体"/>
                <w:sz w:val="32"/>
                <w:szCs w:val="32"/>
              </w:rPr>
              <w:t>15.00</w:t>
            </w:r>
            <w:r>
              <w:rPr>
                <w:rFonts w:hint="eastAsia" w:ascii="宋体" w:hAnsi="Times New Roman" w:eastAsia="宋体" w:cs="宋体"/>
                <w:sz w:val="32"/>
                <w:szCs w:val="32"/>
              </w:rPr>
              <w:t>万元）。</w:t>
            </w:r>
            <w:r>
              <w:rPr>
                <w:rFonts w:ascii="宋体" w:hAnsi="Times New Roman" w:eastAsia="宋体" w:cs="宋体"/>
                <w:sz w:val="32"/>
                <w:szCs w:val="32"/>
              </w:rPr>
              <w:t>2024</w:t>
            </w:r>
            <w:r>
              <w:rPr>
                <w:rFonts w:hint="eastAsia" w:ascii="宋体" w:hAnsi="Times New Roman" w:eastAsia="宋体" w:cs="宋体"/>
                <w:sz w:val="32"/>
                <w:szCs w:val="32"/>
              </w:rPr>
              <w:t>年三公经费预算较上年增加</w:t>
            </w:r>
            <w:r>
              <w:rPr>
                <w:rFonts w:hint="eastAsia" w:ascii="宋体" w:hAnsi="Times New Roman" w:eastAsia="宋体" w:cs="宋体"/>
                <w:sz w:val="32"/>
                <w:szCs w:val="32"/>
                <w:lang w:val="en-US" w:eastAsia="zh-CN"/>
              </w:rPr>
              <w:t>1</w:t>
            </w:r>
            <w:r>
              <w:rPr>
                <w:rFonts w:hint="eastAsia" w:ascii="宋体" w:hAnsi="Times New Roman" w:eastAsia="宋体" w:cs="宋体"/>
                <w:sz w:val="32"/>
                <w:szCs w:val="32"/>
              </w:rPr>
              <w:t>6万元，主要原因是2024年度增加两台公务船舶的运行维护费用</w:t>
            </w:r>
            <w:r>
              <w:rPr>
                <w:rFonts w:hint="eastAsia" w:ascii="宋体" w:hAnsi="Times New Roman" w:eastAsia="宋体" w:cs="宋体"/>
                <w:sz w:val="32"/>
                <w:szCs w:val="32"/>
                <w:lang w:eastAsia="zh-CN"/>
              </w:rPr>
              <w:t>及有因公出国（境）的预算安排</w:t>
            </w:r>
            <w:r>
              <w:rPr>
                <w:rFonts w:hint="eastAsia" w:ascii="宋体" w:hAnsi="Times New Roman" w:eastAsia="宋体" w:cs="宋体"/>
                <w:sz w:val="32"/>
                <w:szCs w:val="32"/>
              </w:rPr>
              <w:t>。</w:t>
            </w:r>
            <w:bookmarkStart w:id="0" w:name="_GoBack"/>
            <w:bookmarkEnd w:id="0"/>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（三）一般性支出情况</w:t>
            </w:r>
          </w:p>
        </w:tc>
      </w:tr>
      <w:tr>
        <w:tblPrEx>
          <w:tblCellMar>
            <w:top w:w="0" w:type="dxa"/>
            <w:left w:w="0" w:type="dxa"/>
            <w:bottom w:w="0" w:type="dxa"/>
            <w:right w:w="0" w:type="dxa"/>
          </w:tblCellMar>
        </w:tblPrEx>
        <w:trPr>
          <w:trHeight w:val="1857"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2024</w:t>
            </w:r>
            <w:r>
              <w:rPr>
                <w:rFonts w:hint="eastAsia" w:ascii="宋体" w:hAnsi="Times New Roman" w:eastAsia="宋体" w:cs="宋体"/>
                <w:sz w:val="32"/>
                <w:szCs w:val="32"/>
              </w:rPr>
              <w:t>年会议费预算</w:t>
            </w:r>
            <w:r>
              <w:rPr>
                <w:rFonts w:ascii="宋体" w:hAnsi="Times New Roman" w:eastAsia="宋体" w:cs="宋体"/>
                <w:sz w:val="32"/>
                <w:szCs w:val="32"/>
              </w:rPr>
              <w:t>1.00</w:t>
            </w:r>
            <w:r>
              <w:rPr>
                <w:rFonts w:hint="eastAsia" w:ascii="宋体" w:hAnsi="Times New Roman" w:eastAsia="宋体" w:cs="宋体"/>
                <w:sz w:val="32"/>
                <w:szCs w:val="32"/>
              </w:rPr>
              <w:t>万元（数据来源见表</w:t>
            </w:r>
            <w:r>
              <w:rPr>
                <w:rFonts w:ascii="宋体" w:hAnsi="Times New Roman" w:eastAsia="宋体" w:cs="宋体"/>
                <w:sz w:val="32"/>
                <w:szCs w:val="32"/>
              </w:rPr>
              <w:t>13</w:t>
            </w:r>
            <w:r>
              <w:rPr>
                <w:rFonts w:hint="eastAsia" w:ascii="宋体" w:hAnsi="Times New Roman" w:eastAsia="宋体" w:cs="宋体"/>
                <w:sz w:val="32"/>
                <w:szCs w:val="32"/>
              </w:rPr>
              <w:t>会议费、培训费），拟召开2次会议，人数50人，内容为党风廉政、党建方面的会议；培训费预算</w:t>
            </w:r>
            <w:r>
              <w:rPr>
                <w:rFonts w:ascii="宋体" w:hAnsi="Times New Roman" w:eastAsia="宋体" w:cs="宋体"/>
                <w:sz w:val="32"/>
                <w:szCs w:val="32"/>
              </w:rPr>
              <w:t>1.00</w:t>
            </w:r>
            <w:r>
              <w:rPr>
                <w:rFonts w:hint="eastAsia" w:ascii="宋体" w:hAnsi="Times New Roman" w:eastAsia="宋体" w:cs="宋体"/>
                <w:sz w:val="32"/>
                <w:szCs w:val="32"/>
              </w:rPr>
              <w:t>万元，拟开展2次培训，人数50人，内容为科研监测、巡护管理、技能培训；</w:t>
            </w:r>
            <w:r>
              <w:rPr>
                <w:rFonts w:ascii="宋体" w:hAnsi="Times New Roman" w:eastAsia="宋体" w:cs="宋体"/>
                <w:sz w:val="32"/>
                <w:szCs w:val="32"/>
              </w:rPr>
              <w:t xml:space="preserve"> 2024</w:t>
            </w:r>
            <w:r>
              <w:rPr>
                <w:rFonts w:hint="eastAsia" w:ascii="宋体" w:hAnsi="Times New Roman" w:eastAsia="宋体" w:cs="宋体"/>
                <w:sz w:val="32"/>
                <w:szCs w:val="32"/>
              </w:rPr>
              <w:t>年度本单位未计划举办节庆、晚会、论坛、赛事活动。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（四）政府采购情况</w:t>
            </w:r>
          </w:p>
        </w:tc>
      </w:tr>
      <w:tr>
        <w:tblPrEx>
          <w:tblCellMar>
            <w:top w:w="0" w:type="dxa"/>
            <w:left w:w="0" w:type="dxa"/>
            <w:bottom w:w="0" w:type="dxa"/>
            <w:right w:w="0" w:type="dxa"/>
          </w:tblCellMar>
        </w:tblPrEx>
        <w:trPr>
          <w:trHeight w:val="1133"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color w:val="auto"/>
                <w:sz w:val="32"/>
                <w:szCs w:val="32"/>
              </w:rPr>
            </w:pPr>
            <w:r>
              <w:rPr>
                <w:rFonts w:ascii="宋体" w:hAnsi="Times New Roman" w:eastAsia="宋体" w:cs="宋体"/>
                <w:color w:val="FF0000"/>
                <w:sz w:val="32"/>
                <w:szCs w:val="32"/>
              </w:rPr>
              <w:t xml:space="preserve">  </w:t>
            </w:r>
            <w:r>
              <w:rPr>
                <w:rFonts w:hint="eastAsia" w:ascii="宋体" w:hAnsi="Times New Roman" w:eastAsia="宋体" w:cs="宋体"/>
                <w:color w:val="auto"/>
                <w:sz w:val="32"/>
                <w:szCs w:val="32"/>
              </w:rPr>
              <w:t>本单位</w:t>
            </w:r>
            <w:r>
              <w:rPr>
                <w:rFonts w:ascii="宋体" w:hAnsi="Times New Roman" w:eastAsia="宋体" w:cs="宋体"/>
                <w:color w:val="auto"/>
                <w:sz w:val="32"/>
                <w:szCs w:val="32"/>
              </w:rPr>
              <w:t>2024</w:t>
            </w:r>
            <w:r>
              <w:rPr>
                <w:rFonts w:hint="eastAsia" w:ascii="宋体" w:hAnsi="Times New Roman" w:eastAsia="宋体" w:cs="宋体"/>
                <w:color w:val="auto"/>
                <w:sz w:val="32"/>
                <w:szCs w:val="32"/>
              </w:rPr>
              <w:t>年政府采购预算总额</w:t>
            </w:r>
            <w:r>
              <w:rPr>
                <w:rFonts w:ascii="宋体" w:hAnsi="Times New Roman" w:eastAsia="宋体" w:cs="宋体"/>
                <w:color w:val="auto"/>
                <w:sz w:val="32"/>
                <w:szCs w:val="32"/>
              </w:rPr>
              <w:t>4514.58</w:t>
            </w:r>
            <w:r>
              <w:rPr>
                <w:rFonts w:hint="eastAsia" w:ascii="宋体" w:hAnsi="Times New Roman" w:eastAsia="宋体" w:cs="宋体"/>
                <w:color w:val="auto"/>
                <w:sz w:val="32"/>
                <w:szCs w:val="32"/>
              </w:rPr>
              <w:t>万元，其中工程类</w:t>
            </w:r>
            <w:r>
              <w:rPr>
                <w:rFonts w:ascii="宋体" w:hAnsi="Times New Roman" w:eastAsia="宋体" w:cs="宋体"/>
                <w:color w:val="auto"/>
                <w:sz w:val="32"/>
                <w:szCs w:val="32"/>
              </w:rPr>
              <w:t>4054.82</w:t>
            </w:r>
            <w:r>
              <w:rPr>
                <w:rFonts w:hint="eastAsia" w:ascii="宋体" w:hAnsi="Times New Roman" w:eastAsia="宋体" w:cs="宋体"/>
                <w:color w:val="auto"/>
                <w:sz w:val="32"/>
                <w:szCs w:val="32"/>
              </w:rPr>
              <w:t>万元，货物类</w:t>
            </w:r>
            <w:r>
              <w:rPr>
                <w:rFonts w:ascii="宋体" w:hAnsi="Times New Roman" w:eastAsia="宋体" w:cs="宋体"/>
                <w:color w:val="auto"/>
                <w:sz w:val="32"/>
                <w:szCs w:val="32"/>
              </w:rPr>
              <w:t>3.5</w:t>
            </w:r>
            <w:r>
              <w:rPr>
                <w:rFonts w:hint="eastAsia" w:ascii="宋体" w:hAnsi="Times New Roman" w:eastAsia="宋体" w:cs="宋体"/>
                <w:color w:val="auto"/>
                <w:sz w:val="32"/>
                <w:szCs w:val="32"/>
              </w:rPr>
              <w:t>万元，服务类</w:t>
            </w:r>
            <w:r>
              <w:rPr>
                <w:rFonts w:ascii="宋体" w:hAnsi="Times New Roman" w:eastAsia="宋体" w:cs="宋体"/>
                <w:color w:val="auto"/>
                <w:sz w:val="32"/>
                <w:szCs w:val="32"/>
              </w:rPr>
              <w:t>456.26</w:t>
            </w:r>
            <w:r>
              <w:rPr>
                <w:rFonts w:hint="eastAsia" w:ascii="宋体" w:hAnsi="Times New Roman" w:eastAsia="宋体" w:cs="宋体"/>
                <w:color w:val="auto"/>
                <w:sz w:val="32"/>
                <w:szCs w:val="32"/>
              </w:rPr>
              <w:t>万元。</w:t>
            </w:r>
          </w:p>
        </w:tc>
      </w:tr>
      <w:tr>
        <w:tblPrEx>
          <w:tblCellMar>
            <w:top w:w="0" w:type="dxa"/>
            <w:left w:w="0" w:type="dxa"/>
            <w:bottom w:w="0" w:type="dxa"/>
            <w:right w:w="0" w:type="dxa"/>
          </w:tblCellMar>
        </w:tblPrEx>
        <w:trPr>
          <w:trHeight w:val="971"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（五）国有资产占有使用及新增资产配置情况</w:t>
            </w:r>
          </w:p>
        </w:tc>
      </w:tr>
      <w:tr>
        <w:tblPrEx>
          <w:tblCellMar>
            <w:top w:w="0" w:type="dxa"/>
            <w:left w:w="0" w:type="dxa"/>
            <w:bottom w:w="0" w:type="dxa"/>
            <w:right w:w="0" w:type="dxa"/>
          </w:tblCellMar>
        </w:tblPrEx>
        <w:trPr>
          <w:trHeight w:val="2687"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截至上年底，本单位共有车辆3辆，其中领导干部用车0辆，一般公务用车0辆，其他用车3辆。单位价值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万元以上通用设备0台，单位价值</w:t>
            </w:r>
            <w:r>
              <w:rPr>
                <w:rFonts w:ascii="宋体" w:hAnsi="Times New Roman" w:eastAsia="宋体" w:cs="宋体"/>
                <w:sz w:val="32"/>
                <w:szCs w:val="32"/>
              </w:rPr>
              <w:t>100</w:t>
            </w:r>
            <w:r>
              <w:rPr>
                <w:rFonts w:hint="eastAsia" w:ascii="宋体" w:hAnsi="Times New Roman" w:eastAsia="宋体" w:cs="宋体"/>
                <w:sz w:val="32"/>
                <w:szCs w:val="32"/>
              </w:rPr>
              <w:t>万元以上专用设备2台。</w:t>
            </w:r>
            <w:r>
              <w:rPr>
                <w:rFonts w:ascii="宋体" w:hAnsi="Times New Roman" w:eastAsia="宋体" w:cs="宋体"/>
                <w:sz w:val="32"/>
                <w:szCs w:val="32"/>
              </w:rPr>
              <w:t xml:space="preserve"> </w:t>
            </w:r>
          </w:p>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p>
          <w:p>
            <w:pPr>
              <w:spacing w:line="375" w:lineRule="exact"/>
              <w:ind w:left="19" w:leftChars="8" w:firstLine="480" w:firstLineChars="150"/>
              <w:rPr>
                <w:rFonts w:ascii="宋体" w:hAnsi="Times New Roman" w:eastAsia="宋体" w:cs="宋体"/>
                <w:sz w:val="32"/>
                <w:szCs w:val="32"/>
              </w:rPr>
            </w:pPr>
            <w:r>
              <w:rPr>
                <w:rFonts w:ascii="宋体" w:hAnsi="Times New Roman" w:eastAsia="宋体" w:cs="宋体"/>
                <w:sz w:val="32"/>
                <w:szCs w:val="32"/>
              </w:rPr>
              <w:t>2024</w:t>
            </w:r>
            <w:r>
              <w:rPr>
                <w:rFonts w:hint="eastAsia" w:ascii="宋体" w:hAnsi="Times New Roman" w:eastAsia="宋体" w:cs="宋体"/>
                <w:sz w:val="32"/>
                <w:szCs w:val="32"/>
              </w:rPr>
              <w:t>年度本单位未计划处置或新增车辆、设备等。</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firstLine="320" w:firstLineChars="100"/>
              <w:rPr>
                <w:rFonts w:ascii="Dialog" w:hAnsi="Times New Roman" w:eastAsia="Dialog" w:cs="Dialog"/>
                <w:sz w:val="32"/>
                <w:szCs w:val="32"/>
              </w:rPr>
            </w:pPr>
            <w:r>
              <w:rPr>
                <w:rFonts w:hint="eastAsia" w:ascii="Dialog" w:hAnsi="Times New Roman" w:eastAsia="Dialog" w:cs="Dialog"/>
                <w:sz w:val="32"/>
                <w:szCs w:val="32"/>
              </w:rPr>
              <w:t>（六）预算绩效目标说明</w:t>
            </w:r>
          </w:p>
        </w:tc>
      </w:tr>
      <w:tr>
        <w:tblPrEx>
          <w:tblCellMar>
            <w:top w:w="0" w:type="dxa"/>
            <w:left w:w="0" w:type="dxa"/>
            <w:bottom w:w="0" w:type="dxa"/>
            <w:right w:w="0" w:type="dxa"/>
          </w:tblCellMar>
        </w:tblPrEx>
        <w:trPr>
          <w:trHeight w:val="1132"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本单位所有支出实行绩效目标管理。纳入</w:t>
            </w:r>
            <w:r>
              <w:rPr>
                <w:rFonts w:ascii="宋体" w:hAnsi="Times New Roman" w:eastAsia="宋体" w:cs="宋体"/>
                <w:sz w:val="32"/>
                <w:szCs w:val="32"/>
              </w:rPr>
              <w:t>2024</w:t>
            </w:r>
            <w:r>
              <w:rPr>
                <w:rFonts w:hint="eastAsia" w:ascii="宋体" w:hAnsi="Times New Roman" w:eastAsia="宋体" w:cs="宋体"/>
                <w:sz w:val="32"/>
                <w:szCs w:val="32"/>
              </w:rPr>
              <w:t>年单位整体支出绩效目标的金额为</w:t>
            </w:r>
            <w:r>
              <w:rPr>
                <w:rFonts w:ascii="宋体" w:hAnsi="Times New Roman" w:eastAsia="宋体" w:cs="宋体"/>
                <w:sz w:val="32"/>
                <w:szCs w:val="32"/>
              </w:rPr>
              <w:t>774.08</w:t>
            </w:r>
            <w:r>
              <w:rPr>
                <w:rFonts w:hint="eastAsia" w:ascii="宋体" w:hAnsi="Times New Roman" w:eastAsia="宋体" w:cs="宋体"/>
                <w:sz w:val="32"/>
                <w:szCs w:val="32"/>
              </w:rPr>
              <w:t>万元，其中，基本支出</w:t>
            </w:r>
            <w:r>
              <w:rPr>
                <w:rFonts w:ascii="宋体" w:hAnsi="Times New Roman" w:eastAsia="宋体" w:cs="宋体"/>
                <w:sz w:val="32"/>
                <w:szCs w:val="32"/>
              </w:rPr>
              <w:t>731.58</w:t>
            </w:r>
            <w:r>
              <w:rPr>
                <w:rFonts w:hint="eastAsia" w:ascii="宋体" w:hAnsi="Times New Roman" w:eastAsia="宋体" w:cs="宋体"/>
                <w:sz w:val="32"/>
                <w:szCs w:val="32"/>
              </w:rPr>
              <w:t>万元，项目支出</w:t>
            </w:r>
            <w:r>
              <w:rPr>
                <w:rFonts w:ascii="宋体" w:hAnsi="Times New Roman" w:eastAsia="宋体" w:cs="宋体"/>
                <w:sz w:val="32"/>
                <w:szCs w:val="32"/>
              </w:rPr>
              <w:t>42.50</w:t>
            </w:r>
            <w:r>
              <w:rPr>
                <w:rFonts w:hint="eastAsia" w:ascii="宋体" w:hAnsi="Times New Roman" w:eastAsia="宋体" w:cs="宋体"/>
                <w:sz w:val="32"/>
                <w:szCs w:val="32"/>
              </w:rPr>
              <w:t>万元，详见文尾附表中单位预算公开表格的表</w:t>
            </w:r>
            <w:r>
              <w:rPr>
                <w:rFonts w:ascii="宋体" w:hAnsi="Times New Roman" w:eastAsia="宋体" w:cs="宋体"/>
                <w:sz w:val="32"/>
                <w:szCs w:val="32"/>
              </w:rPr>
              <w:t>21-22</w:t>
            </w:r>
            <w:r>
              <w:rPr>
                <w:rFonts w:hint="eastAsia" w:ascii="宋体" w:hAnsi="Times New Roman" w:eastAsia="宋体" w:cs="宋体"/>
                <w:sz w:val="32"/>
                <w:szCs w:val="32"/>
              </w:rPr>
              <w:t>。</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七、名词解释</w:t>
            </w:r>
          </w:p>
        </w:tc>
      </w:tr>
      <w:tr>
        <w:tblPrEx>
          <w:tblCellMar>
            <w:top w:w="0" w:type="dxa"/>
            <w:left w:w="0" w:type="dxa"/>
            <w:bottom w:w="0" w:type="dxa"/>
            <w:right w:w="0" w:type="dxa"/>
          </w:tblCellMar>
        </w:tblPrEx>
        <w:trPr>
          <w:trHeight w:val="1700"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1</w:t>
            </w:r>
            <w:r>
              <w:rPr>
                <w:rFonts w:hint="eastAsia" w:ascii="宋体" w:hAnsi="Times New Roman" w:eastAsia="宋体" w:cs="宋体"/>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r>
      <w:tr>
        <w:tblPrEx>
          <w:tblCellMar>
            <w:top w:w="0" w:type="dxa"/>
            <w:left w:w="0" w:type="dxa"/>
            <w:bottom w:w="0" w:type="dxa"/>
            <w:right w:w="0" w:type="dxa"/>
          </w:tblCellMar>
        </w:tblPrEx>
        <w:trPr>
          <w:trHeight w:val="1700"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w:t>
            </w:r>
            <w:r>
              <w:rPr>
                <w:rFonts w:hint="eastAsia" w:ascii="宋体" w:hAnsi="Times New Roman"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CellMar>
            <w:top w:w="0" w:type="dxa"/>
            <w:left w:w="0" w:type="dxa"/>
            <w:bottom w:w="0" w:type="dxa"/>
            <w:right w:w="0" w:type="dxa"/>
          </w:tblCellMar>
        </w:tblPrEx>
        <w:trPr>
          <w:trHeight w:val="28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144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285" w:hRule="exac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pPr>
              <w:rPr>
                <w:rFonts w:ascii="Times New Roman" w:hAnsi="Times New Roman" w:cs="Times New Roman"/>
                <w:color w:val="auto"/>
              </w:rPr>
            </w:pP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2024</w:t>
            </w:r>
            <w:r>
              <w:rPr>
                <w:rFonts w:hint="eastAsia" w:ascii="Dialog" w:hAnsi="Times New Roman" w:eastAsia="Dialog" w:cs="Dialog"/>
                <w:sz w:val="32"/>
                <w:szCs w:val="32"/>
              </w:rPr>
              <w:t>年单位预算公开表格</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w:t>
            </w:r>
            <w:r>
              <w:rPr>
                <w:rFonts w:hint="eastAsia" w:ascii="宋体" w:hAnsi="Times New Roman" w:eastAsia="宋体" w:cs="宋体"/>
                <w:sz w:val="32"/>
                <w:szCs w:val="32"/>
              </w:rPr>
              <w:t>、收支总表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w:t>
            </w:r>
            <w:r>
              <w:rPr>
                <w:rFonts w:hint="eastAsia" w:ascii="宋体" w:hAnsi="Times New Roman" w:eastAsia="宋体" w:cs="宋体"/>
                <w:sz w:val="32"/>
                <w:szCs w:val="32"/>
              </w:rPr>
              <w:t>、收入总表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3</w:t>
            </w:r>
            <w:r>
              <w:rPr>
                <w:rFonts w:hint="eastAsia" w:ascii="宋体" w:hAnsi="Times New Roman" w:eastAsia="宋体" w:cs="宋体"/>
                <w:sz w:val="32"/>
                <w:szCs w:val="32"/>
              </w:rPr>
              <w:t>、支出总表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4</w:t>
            </w:r>
            <w:r>
              <w:rPr>
                <w:rFonts w:hint="eastAsia" w:ascii="宋体" w:hAnsi="Times New Roman" w:eastAsia="宋体" w:cs="宋体"/>
                <w:sz w:val="32"/>
                <w:szCs w:val="32"/>
              </w:rPr>
              <w:t>、支出预算分类汇总表（按政府预算经济分类）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5</w:t>
            </w:r>
            <w:r>
              <w:rPr>
                <w:rFonts w:hint="eastAsia" w:ascii="宋体" w:hAnsi="Times New Roman" w:eastAsia="宋体" w:cs="宋体"/>
                <w:sz w:val="32"/>
                <w:szCs w:val="32"/>
              </w:rPr>
              <w:t>、支出预算分类汇总表（按部门预算经济分类）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6</w:t>
            </w:r>
            <w:r>
              <w:rPr>
                <w:rFonts w:hint="eastAsia" w:ascii="宋体" w:hAnsi="Times New Roman" w:eastAsia="宋体" w:cs="宋体"/>
                <w:sz w:val="32"/>
                <w:szCs w:val="32"/>
              </w:rPr>
              <w:t>、财政拨款收支总表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7</w:t>
            </w:r>
            <w:r>
              <w:rPr>
                <w:rFonts w:hint="eastAsia" w:ascii="宋体" w:hAnsi="Times New Roman" w:eastAsia="宋体" w:cs="宋体"/>
                <w:sz w:val="32"/>
                <w:szCs w:val="32"/>
              </w:rPr>
              <w:t>、一般公共预算支出表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8</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9</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10</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11</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12</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13</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14</w:t>
            </w:r>
            <w:r>
              <w:rPr>
                <w:rFonts w:hint="eastAsia" w:ascii="宋体" w:hAnsi="Times New Roman" w:eastAsia="宋体" w:cs="宋体"/>
                <w:sz w:val="32"/>
                <w:szCs w:val="32"/>
              </w:rPr>
              <w:t>、一般公共预算“三公”经费支出表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15</w:t>
            </w:r>
            <w:r>
              <w:rPr>
                <w:rFonts w:hint="eastAsia" w:ascii="宋体" w:hAnsi="Times New Roman" w:eastAsia="宋体" w:cs="宋体"/>
                <w:sz w:val="32"/>
                <w:szCs w:val="32"/>
              </w:rPr>
              <w:t>、政府性基金预算支出表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16</w:t>
            </w:r>
            <w:r>
              <w:rPr>
                <w:rFonts w:hint="eastAsia" w:ascii="宋体" w:hAnsi="Times New Roman" w:eastAsia="宋体" w:cs="宋体"/>
                <w:sz w:val="32"/>
                <w:szCs w:val="32"/>
              </w:rPr>
              <w:t>、政府性基金预算支出分类汇总表（按政府预算经济分类）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17</w:t>
            </w:r>
            <w:r>
              <w:rPr>
                <w:rFonts w:hint="eastAsia" w:ascii="宋体" w:hAnsi="Times New Roman" w:eastAsia="宋体" w:cs="宋体"/>
                <w:sz w:val="32"/>
                <w:szCs w:val="32"/>
              </w:rPr>
              <w:t>、政府性基金预算支出分类汇总表（按部门预算经济分类）</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18</w:t>
            </w:r>
            <w:r>
              <w:rPr>
                <w:rFonts w:hint="eastAsia" w:ascii="宋体" w:hAnsi="Times New Roman" w:eastAsia="宋体" w:cs="宋体"/>
                <w:sz w:val="32"/>
                <w:szCs w:val="32"/>
              </w:rPr>
              <w:t>、国有资本经营预算支出表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19</w:t>
            </w:r>
            <w:r>
              <w:rPr>
                <w:rFonts w:hint="eastAsia" w:ascii="宋体" w:hAnsi="Times New Roman" w:eastAsia="宋体" w:cs="宋体"/>
                <w:sz w:val="32"/>
                <w:szCs w:val="32"/>
              </w:rPr>
              <w:t>、财政专户管理资金预算支出表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20</w:t>
            </w:r>
            <w:r>
              <w:rPr>
                <w:rFonts w:hint="eastAsia" w:ascii="宋体" w:hAnsi="Times New Roman" w:eastAsia="宋体" w:cs="宋体"/>
                <w:sz w:val="32"/>
                <w:szCs w:val="32"/>
              </w:rPr>
              <w:t>、专项资金预算汇总表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21</w:t>
            </w:r>
            <w:r>
              <w:rPr>
                <w:rFonts w:hint="eastAsia" w:ascii="宋体" w:hAnsi="Times New Roman" w:eastAsia="宋体" w:cs="宋体"/>
                <w:sz w:val="32"/>
                <w:szCs w:val="32"/>
              </w:rPr>
              <w:t>、项目支出绩效目标表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22</w:t>
            </w:r>
            <w:r>
              <w:rPr>
                <w:rFonts w:hint="eastAsia" w:ascii="宋体" w:hAnsi="Times New Roman" w:eastAsia="宋体" w:cs="宋体"/>
                <w:sz w:val="32"/>
                <w:szCs w:val="32"/>
              </w:rPr>
              <w:t>、单位整体支出绩效目标表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sz w:val="32"/>
                <w:szCs w:val="32"/>
              </w:rPr>
            </w:pPr>
            <w:r>
              <w:rPr>
                <w:rFonts w:ascii="宋体" w:hAnsi="Times New Roman" w:eastAsia="宋体" w:cs="宋体"/>
                <w:sz w:val="32"/>
                <w:szCs w:val="32"/>
              </w:rPr>
              <w:t>23</w:t>
            </w:r>
            <w:r>
              <w:rPr>
                <w:rFonts w:hint="eastAsia" w:ascii="宋体" w:hAnsi="Times New Roman" w:eastAsia="宋体" w:cs="宋体"/>
                <w:sz w:val="32"/>
                <w:szCs w:val="32"/>
              </w:rPr>
              <w:t>、一般公共预算基本支出表</w:t>
            </w:r>
          </w:p>
        </w:tc>
      </w:tr>
      <w:tr>
        <w:tblPrEx>
          <w:tblCellMar>
            <w:top w:w="0" w:type="dxa"/>
            <w:left w:w="0" w:type="dxa"/>
            <w:bottom w:w="0" w:type="dxa"/>
            <w:right w:w="0" w:type="dxa"/>
          </w:tblCellMar>
        </w:tblPrEx>
        <w:trPr>
          <w:trHeight w:val="566" w:hRule="exac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pPr>
              <w:spacing w:line="375" w:lineRule="exact"/>
              <w:ind w:left="20"/>
              <w:rPr>
                <w:rFonts w:ascii="宋体" w:hAnsi="Times New Roman" w:eastAsia="宋体" w:cs="宋体"/>
                <w:color w:val="FF0000"/>
                <w:sz w:val="32"/>
                <w:szCs w:val="32"/>
              </w:rPr>
            </w:pPr>
            <w:r>
              <w:rPr>
                <w:rFonts w:hint="eastAsia" w:ascii="宋体" w:hAnsi="Times New Roman" w:eastAsia="宋体" w:cs="宋体"/>
                <w:b/>
                <w:bCs/>
                <w:color w:val="FF0000"/>
                <w:sz w:val="32"/>
                <w:szCs w:val="32"/>
              </w:rPr>
              <w:t>注：以上单位预算公开报表中，空表表示本单位无相关收支情况。</w:t>
            </w:r>
          </w:p>
        </w:tc>
      </w:tr>
    </w:tbl>
    <w:p/>
    <w:sectPr>
      <w:pgSz w:w="18708" w:h="15840"/>
      <w:pgMar w:top="388" w:right="1080" w:bottom="388"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Dialog">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4NWZmOGRjYjgyMzBkNjY4OGE4ZThkOWE2MDMyOTYifQ=="/>
  </w:docVars>
  <w:rsids>
    <w:rsidRoot w:val="00AD5E46"/>
    <w:rsid w:val="00006ACD"/>
    <w:rsid w:val="0005618E"/>
    <w:rsid w:val="003241A4"/>
    <w:rsid w:val="004F6FE5"/>
    <w:rsid w:val="00A24450"/>
    <w:rsid w:val="00AC3FD0"/>
    <w:rsid w:val="00AD5E46"/>
    <w:rsid w:val="00BD38D4"/>
    <w:rsid w:val="5A8F119B"/>
    <w:rsid w:val="6D971D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99"/>
    <w:pPr>
      <w:widowControl w:val="0"/>
      <w:autoSpaceDE w:val="0"/>
      <w:autoSpaceDN w:val="0"/>
      <w:adjustRightInd w:val="0"/>
    </w:pPr>
    <w:rPr>
      <w:rFonts w:ascii="Arial" w:hAnsi="Arial" w:cs="Arial" w:eastAsiaTheme="minorEastAsia"/>
      <w:color w:val="000000"/>
      <w:sz w:val="24"/>
      <w:szCs w:val="24"/>
      <w:lang w:val="en-US" w:eastAsia="zh-CN" w:bidi="ar-SA"/>
    </w:rPr>
  </w:style>
  <w:style w:type="paragraph" w:styleId="2">
    <w:name w:val="heading 1"/>
    <w:basedOn w:val="1"/>
    <w:next w:val="1"/>
    <w:link w:val="9"/>
    <w:qFormat/>
    <w:uiPriority w:val="9"/>
    <w:pPr>
      <w:outlineLvl w:val="0"/>
    </w:pPr>
    <w:rPr>
      <w:b/>
      <w:bCs/>
      <w:sz w:val="32"/>
      <w:szCs w:val="32"/>
    </w:rPr>
  </w:style>
  <w:style w:type="paragraph" w:styleId="3">
    <w:name w:val="heading 2"/>
    <w:basedOn w:val="1"/>
    <w:next w:val="1"/>
    <w:link w:val="10"/>
    <w:qFormat/>
    <w:uiPriority w:val="99"/>
    <w:pPr>
      <w:outlineLvl w:val="1"/>
    </w:pPr>
    <w:rPr>
      <w:b/>
      <w:bCs/>
      <w:i/>
      <w:iCs/>
      <w:sz w:val="28"/>
      <w:szCs w:val="28"/>
    </w:rPr>
  </w:style>
  <w:style w:type="paragraph" w:styleId="4">
    <w:name w:val="heading 3"/>
    <w:basedOn w:val="1"/>
    <w:next w:val="1"/>
    <w:link w:val="11"/>
    <w:qFormat/>
    <w:uiPriority w:val="99"/>
    <w:pPr>
      <w:outlineLvl w:val="2"/>
    </w:pPr>
    <w:rPr>
      <w:b/>
      <w:bCs/>
      <w:sz w:val="26"/>
      <w:szCs w:val="26"/>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link w:val="13"/>
    <w:semiHidden/>
    <w:unhideWhenUsed/>
    <w:uiPriority w:val="99"/>
    <w:pPr>
      <w:tabs>
        <w:tab w:val="center" w:pos="4153"/>
        <w:tab w:val="right" w:pos="8306"/>
      </w:tabs>
      <w:snapToGrid w:val="0"/>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8"/>
    <w:link w:val="2"/>
    <w:uiPriority w:val="9"/>
    <w:rPr>
      <w:b/>
      <w:bCs/>
      <w:kern w:val="44"/>
      <w:sz w:val="44"/>
      <w:szCs w:val="44"/>
    </w:rPr>
  </w:style>
  <w:style w:type="character" w:customStyle="1" w:styleId="10">
    <w:name w:val="标题 2 字符"/>
    <w:basedOn w:val="8"/>
    <w:link w:val="3"/>
    <w:semiHidden/>
    <w:uiPriority w:val="9"/>
    <w:rPr>
      <w:rFonts w:asciiTheme="majorHAnsi" w:hAnsiTheme="majorHAnsi" w:eastAsiaTheme="majorEastAsia" w:cstheme="majorBidi"/>
      <w:b/>
      <w:bCs/>
      <w:sz w:val="32"/>
      <w:szCs w:val="32"/>
    </w:rPr>
  </w:style>
  <w:style w:type="character" w:customStyle="1" w:styleId="11">
    <w:name w:val="标题 3 字符"/>
    <w:basedOn w:val="8"/>
    <w:link w:val="4"/>
    <w:semiHidden/>
    <w:uiPriority w:val="9"/>
    <w:rPr>
      <w:b/>
      <w:bCs/>
      <w:sz w:val="32"/>
      <w:szCs w:val="32"/>
    </w:rPr>
  </w:style>
  <w:style w:type="character" w:customStyle="1" w:styleId="12">
    <w:name w:val="页眉 字符"/>
    <w:basedOn w:val="8"/>
    <w:link w:val="6"/>
    <w:semiHidden/>
    <w:uiPriority w:val="99"/>
    <w:rPr>
      <w:rFonts w:ascii="Arial" w:hAnsi="Arial" w:cs="Arial"/>
      <w:color w:val="000000"/>
      <w:kern w:val="0"/>
      <w:sz w:val="18"/>
      <w:szCs w:val="18"/>
    </w:rPr>
  </w:style>
  <w:style w:type="character" w:customStyle="1" w:styleId="13">
    <w:name w:val="页脚 字符"/>
    <w:basedOn w:val="8"/>
    <w:link w:val="5"/>
    <w:semiHidden/>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579</Words>
  <Characters>3305</Characters>
  <Lines>27</Lines>
  <Paragraphs>7</Paragraphs>
  <TotalTime>16</TotalTime>
  <ScaleCrop>false</ScaleCrop>
  <LinksUpToDate>false</LinksUpToDate>
  <CharactersWithSpaces>3877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2012-12-31T16:45:00Z</dcterms:created>
  <dc:creator>PC</dc:creator>
  <cp:lastModifiedBy>丫丫</cp:lastModifiedBy>
  <dcterms:modified xsi:type="dcterms:W3CDTF">2024-03-28T03:48:33Z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6E33F1117A8946EABE8B844831EA843C_12</vt:lpwstr>
  </property>
</Properties>
</file>